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96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Плану заходів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збалансування місцевих бюджетів 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2018 році та забезпечення своєчасної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виплати заробітної плати працівникам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бюджетних установ та розрахунків за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енергоносії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10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з метою виконання плану заходів наповнення місцевих бюджетів та економного і раціонального використання бюджетних коштів, посилення фінансово-бюджетної дисципліни: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План заходів щодо збалансування місцевих бюджетів у 2018 році та забезпечення своєчасної виплати заробітної плати працівникам бюджетних установ та розрахунків за енергоносії,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Структурним підрозділам районної державної адміністрації, головам органів місцевого самоврядування забезпечити виконання заходів та інформувати фінансове управління райдержадміністрації про їх виконання.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4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4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numPr>
          <w:ilvl w:val="4"/>
          <w:numId w:val="1"/>
        </w:numPr>
        <w:pBdr>
          <w:top w:space="0" w:sz="0" w:val="nil"/>
          <w:left w:space="0" w:sz="0" w:val="nil"/>
          <w:bottom w:space="0" w:sz="0" w:val="nil"/>
          <w:right w:space="0" w:sz="0" w:val="nil"/>
          <w:between w:space="0" w:sz="0" w:val="nil"/>
        </w:pBdr>
        <w:shd w:fill="auto" w:val="clear"/>
        <w:spacing w:after="60" w:before="240" w:line="240" w:lineRule="auto"/>
        <w:ind w:left="0" w:right="0" w:firstLine="284"/>
        <w:jc w:val="left"/>
        <w:rPr>
          <w:rFonts w:ascii="Times New Roman" w:cs="Times New Roman" w:eastAsia="Times New Roman" w:hAnsi="Times New Roman"/>
          <w:b w:val="1"/>
          <w:i w:val="1"/>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09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09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09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лютого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96</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0908"/>
        </w:tabs>
        <w:spacing w:after="120" w:before="0" w:line="240" w:lineRule="auto"/>
        <w:ind w:left="581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заходів</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збалансування місцевих бюджетів у 2018 році</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та забезпечення своєчасної виплати заробітної плати працівникам</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бюджетних установ та розрахунків за енергоносії</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1.Вжити заходів щодо підвищення ефективності виробництва, його рентабельності, збільшення кількості робочих місць, фонду оплати праці та середньомісячної заробітної плати працівникам у сферах виробництва, торгівлі та послуг.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економічного розвитку,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інфраструктури та торгівлі районної державної адміністрації</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Вжити заходів щодо повернення в межі району платників податку на доходи фізичних осіб,  які на території району мають відокремлені підрозділи, філії, цехи, забезпечити зарахування згаданого податку до місцевих бюджетів за місцем їх розташування.</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Галицької об'єднаної державної податкової інспекції</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Головного управління ДФС у Львівській області,</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Ініціювати перегляд рішень місцевих органів влади в частині збільшення ставок плати за оренду землі та комунального майна відповідно до ринкових умов.</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Збільшити надходження до місцевих бюджетів податків і зборів за рахунок активізації претензійно-позовної роботи з ліквідації заборгованості зі сплати податків та зборів, посилення роботи з платниками податків з викриття схем ухиляння від сплати платежів до бюджету та інших заходів. Щомісячно проводити аналіз виконання планових завдань із надходжень до бюджетів усіх рівнів платежів та оперативно вживати заходів щодо недопущення погіршення динаміки цих надходжень.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відділення Галицької об'єднаної державної податкової інспекції</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Головного управління ДФС у Львівській області,</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виконання заходів</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щодо наповнення місцевих бюджетів, економного та раціонального використання коштів, скорочення не першочергових видатків  згідно з  додатком.</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районної</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62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Щомісячно забезпечувати своєчасну виплату заробітної плати працівникам бюджетної сфери відповідно до встановлених законодавством умов оплати праці та розміру мінімальної заробітної плати у терміни, встановлені в колективних договорах, оплату за спожиті бюджетними установами енергоносії, комунальні послуги та інші першочергові видатки.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 «Пустомитівська центральна районна лікарня», управління соціального захисту населення районної державної адміністрації, відділ культури районної державної адміністрації, Пустомитівський районний територіальний центр соціального обслуговування (надання соціальних послуг), Пустомитівський районний центр соціальних служб для сім’ї, дітей та молоді, органи місцевого самоврядування</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6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У разі виникнення заборгованості із заробітної плати, інших соціальних виплат і розрахунків за енергоносії та комунальні послуги здійснити комплекс конкретних заходів щодо погашення зазначених виплат, виділивши на цю мету не менше як 90 відсотків загального фонду місцевих бюджетів.</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районної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Проводити щомісячний моніторинг споживання бюджетними установами району енергоносіїв і комунальних послуг у натуральних показниках, не допускати перевищення затверджених рішеннями відповідних рад лімітів.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 «Пустомитівська центральна районна лікарня», управління соціального захисту населення районної державної адміністрації, відділ культури районної державної адміністрації, Пустомитівський районний територіальний центр соціального обслуговування (надання соціальних послуг), Пустомитівський районний центр соціальних служб для сім’ї, дітей та молоді, відділ економічного розвитку, інфраструктури та торгів</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органи місцевого самоврядування</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Забезпечити дотримання суворого режиму економії бюджетних коштів та посилення фінансово-бюджетної дисципліни за рахунок запровадження жорсткого режиму економного використання енергоносіїв, удосконалення мережі бюджетних установ та упорядкування штатної чисельності працівників у межах затверджених асигнувань на оплату праці. Не допускати збільшення такої чисельності, крім випадків, пов’язаних з відкриттям (розширенням) установ та зростанням чисельності одержувачів відповідних послуг для задоволення суспільних потреб. Скорочення не першочергових (непріоритетних) видатків, інші заходи з економного і раціонального використання бюджетних коштів.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районної державної адміністрації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Заслуховувати на колегіях райдержадміністрації - головних розпорядників коштів місцевих бюджетів району, питання стосовно дотримання фінансово – бюджетної дисципліни.</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районної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ffffff"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Планування видатків, пов’язаних із стимулюванням працівників кожної бюджетної установи та органів місцевого самоврядування, за умови забезпечення у повному обсязі за рахунок бюджетних коштів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 всіх бюджетних установ, що належать до сфери управління відповідного розпорядника бюджетних коштів.</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Структурні підрозділи районної державної адміністрації, органи місцевого самоврядування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Забезпечувати своєчасну оплату за платіжними дорученнями розпорядників бюджетних коштів. Для забезпечення своєчасної та в повному обсязі виплати заробітної плати, оплати енергоносіїв і проведення видатків за іншими захищеними статтями витрат за умови виникнення тимчасових касових розривів під час виконання місцевих бюджетів або невиконання розрахункових показників Міністерства фінансів України за доходами, надавати короткотермінові та середньострокові позики з єдиного казначейського рахунку.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Державної казначейської служби України у Пустомитівському районі</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року</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0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4680.0" w:type="dxa"/>
        <w:jc w:val="left"/>
        <w:tblInd w:w="4968.0" w:type="dxa"/>
        <w:tblLayout w:type="fixed"/>
        <w:tblLook w:val="0000"/>
      </w:tblPr>
      <w:tblGrid>
        <w:gridCol w:w="4680"/>
        <w:tblGridChange w:id="0">
          <w:tblGrid>
            <w:gridCol w:w="4680"/>
          </w:tblGrid>
        </w:tblGridChange>
      </w:tblGrid>
      <w:tr>
        <w:tc>
          <w:tcPr>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плану заходів щодо збалансування місцевих бюджетів у 2018 році та забезпечення своєчасної виплати заробітної плати працівникам бюджетних установ та розрахунків за енергоносії </w:t>
            </w:r>
          </w:p>
        </w:tc>
      </w:tr>
    </w:tb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заходів, щодо економії коштів та збалансування місцевих бюджетів Пустомитівського району у 2018 році та забезпечення своєчасної</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виплати заробітної плати працівникам</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бюджетних установ та розрахунків за енергоносії</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0000.0" w:type="dxa"/>
        <w:jc w:val="left"/>
        <w:tblInd w:w="-332.0" w:type="dxa"/>
        <w:tblLayout w:type="fixed"/>
        <w:tblLook w:val="0000"/>
      </w:tblPr>
      <w:tblGrid>
        <w:gridCol w:w="660"/>
        <w:gridCol w:w="4080"/>
        <w:gridCol w:w="2340"/>
        <w:gridCol w:w="2920"/>
        <w:tblGridChange w:id="0">
          <w:tblGrid>
            <w:gridCol w:w="660"/>
            <w:gridCol w:w="4080"/>
            <w:gridCol w:w="2340"/>
            <w:gridCol w:w="292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Рік з якого розпочинається реалізація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Планова сума</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економії коштів місцевих бюджетів у 2018 році</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(тис.грн.)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Охорона здоров’я,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790,5</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тому числі: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заповнення вакантних посад в медичних закладах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768,0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відпусток без збереження заробітної плати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 культури,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50,0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тому числі: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по видатках на 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 освіти,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200,0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тому числі: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по видатках на 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Районна рада,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30,0</w:t>
            </w: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т.ч.:</w:t>
            </w:r>
          </w:p>
        </w:tc>
      </w:tr>
      <w:tr>
        <w:trPr>
          <w:trHeight w:val="3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по оплаті послуг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Пустомитівський районний територіальний центр соціального обслуговування (надання соціальних послуг)</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7,0</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т.ч.:</w:t>
            </w:r>
          </w:p>
        </w:tc>
      </w:tr>
      <w:tr>
        <w:trPr>
          <w:trHeight w:val="3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на придбання предметів, матеріалів, обладнання та інвентарю</w:t>
            </w:r>
          </w:p>
        </w:tc>
        <w:tc>
          <w:tcPr>
            <w:tcBorders>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r>
      <w:tr>
        <w:trPr>
          <w:trHeight w:val="3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по оплаті послуг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r>
      <w:tr>
        <w:trPr>
          <w:trHeight w:val="2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по оплаті відряджень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Пустомитівський районний центр соціальних служб для сім’ї, дітей та молоді,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т.ч.:</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коштів на придбання предметів, матеріалів, обладнання та інвентарю</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r>
      <w:tr>
        <w:trPr>
          <w:trHeight w:val="4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pos="3717"/>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1078,5</w:t>
            </w:r>
            <w:r w:rsidDel="00000000" w:rsidR="00000000" w:rsidRPr="00000000">
              <w:rPr>
                <w:rtl w:val="0"/>
              </w:rPr>
            </w:r>
          </w:p>
        </w:tc>
      </w:tr>
    </w:tbl>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